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Порядок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распределения средств на стимулирование инновационной деятельности между муниципальными общеобразовател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ьными организациями Залесовского</w:t>
      </w:r>
      <w:r w:rsidRPr="00AE389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района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Настоящий Порядок регулирует распределение средств на стимулирование инновационной деятельности (далее – «средств») между муниципальными общеобразовате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 учреждениями Залесовского</w:t>
      </w: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 на 2015 год.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2. Основной целью использования средств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нновационного фонда Залесовского</w:t>
      </w: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является стимулирование деятельности педагогических работников и общеобразовательных организаций на создание и внедрение инновационных продуктов, обеспечивающих современное качество образовательных результатов. Средства инновационного фонда направляются на стимулирование общеобразовательных организаций, осуществляющих разработку, внедрение и распространение передового педагогического опыта: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входящих в инновационную инфраструктуру системы образования Алтайского края;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работающих на выравнивание условий получения качественного образования в школах, находящихся в сложных социальных условиях;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сетевое взаимодействие в профессиональных сообществах и объединениях, а также для обеспечения современных условий и требований ФГОС за счет интеграции ресурсов школьных округов;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участвующих в реализации пилотных проектов краевого и муниципального уровней.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3. Ожидаемыми результатами и эффектами использования средств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новационного фонда в Залесовском </w:t>
      </w: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в 2015 году являются: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майских (2012 год) Указов Президента РФ;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доли педагогов, имеющих первую и высшую категории;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результатов государственной итоговой аттестации выпускников 9, 11 классов общеобразовательных организаций в форме ЕГЭ и ОГЭ среднекраевым показателям;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</w:t>
      </w:r>
      <w:r w:rsidRPr="00AE3895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балла ЕГЭ;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снижение доли обучающихся, не прошедших государственную итоговую аттестацию в форме ОГЭ;</w:t>
      </w:r>
    </w:p>
    <w:p w:rsidR="009459DB" w:rsidRPr="00910DCF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доли учащихся, сдавших ЕГЭ по выбору по естественнонаучным дисциплинам (физика, химия, биология);</w:t>
      </w:r>
    </w:p>
    <w:p w:rsidR="009459DB" w:rsidRPr="00910DCF" w:rsidRDefault="009459DB" w:rsidP="009459DB">
      <w:pPr>
        <w:rPr>
          <w:rFonts w:ascii="Times New Roman" w:hAnsi="Times New Roman" w:cs="Times New Roman"/>
          <w:sz w:val="28"/>
          <w:szCs w:val="28"/>
        </w:rPr>
      </w:pPr>
      <w:r w:rsidRPr="00910DCF">
        <w:rPr>
          <w:rFonts w:ascii="Times New Roman" w:eastAsia="Times New Roman" w:hAnsi="Times New Roman" w:cs="Times New Roman"/>
          <w:sz w:val="28"/>
          <w:szCs w:val="28"/>
        </w:rPr>
        <w:t>снижение доли обучающихся, испытывающих трудности в социальной адаптации;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доли старшеклассников (10-11 классы), обучающихся по профильным образовательным программам;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доли обучающихся по программам общего образования, участвующих в олимпиадах и конкурсах различного уровня.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11. Для распределения средств на стимулирование инновационной деятельности между муниципальными общеобразовательны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организациями приказом комитета по  образованию</w:t>
      </w: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создается муниципальная комиссия по распределению средств инновационного фонда, действующая на основании утвержденн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приказом председателя комитета по  образованию Положения об инновационно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12. Основанием для расчета средств на стимулирование инновационной деятельности между муниципальными общеобразовательными организациями показатели (индикаторы), по которым определяется достижение поставленных целей, а также методика расчета указанных показателей (индикаторов</w:t>
      </w:r>
      <w:r w:rsidRPr="00AE3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)</w:t>
      </w:r>
      <w:r w:rsidRPr="00AE389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уровне отдела образования (таблица 1).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13. Инновационной фонд общеобразовательной организации формируется исходя из суммы набранных баллов при проведении оценки результативности деятельности за прошедший год по следующему принципу: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 выделяемых Залесовскому</w:t>
      </w: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на стимулирование инновационной деятельности, делится на общую сумму баллов, полученных при оценке результативности профессиональной деятельности педагогических коллективов отделом образования, получается стоимость одного балла;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- стоимость одного балла умножается на сумму баллов конкретной муниципальной общеобразовательной организации, определяется общая сумма средств на стимулирование инновационной деятельности.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14. Отдел образования разрабатывает план-график</w:t>
      </w:r>
      <w:r w:rsidRPr="00AE3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и памятку по проведению учредительного контроля</w:t>
      </w:r>
      <w:r w:rsidRPr="00AE3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по эффективности использования средств инновационного фонда.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15. Образовательные организации разрабатывают и утверждают локальные акты, регламентирующие Порядок распределения средств на стимулирование результативности и качества инновационной деятельности педагогических работников.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16. Средства инновационного фонда общеобразовательной организации являются частью фонда оплаты труда и используются на ежемесячные выплаты за высокие результаты и качество деятельности педагогическим работникам муниципальных общеобразовательных учреждений, установленные локальными актами муниципальных общеобразовательных учреждений. Средства распределяются 1 раз в год.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17. Порядок согласовывается с органами государственно-общественного управления и профсоюзом.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b/>
          <w:bCs/>
          <w:color w:val="000000"/>
          <w:sz w:val="28"/>
        </w:rPr>
        <w:t>Критерии распределения средств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стимулирование инновационной деятельности в 2015 году</w:t>
      </w:r>
    </w:p>
    <w:p w:rsidR="009459DB" w:rsidRPr="00AE3895" w:rsidRDefault="009459DB" w:rsidP="00945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895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между общеобразовател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ьными организациями Залесовского</w:t>
      </w:r>
      <w:r w:rsidRPr="00AE389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района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"/>
        <w:gridCol w:w="3727"/>
        <w:gridCol w:w="3895"/>
        <w:gridCol w:w="1111"/>
      </w:tblGrid>
      <w:tr w:rsidR="009459DB" w:rsidRPr="00AE3895" w:rsidTr="00776E6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Критерий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Индикатор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Оценка (баллы)</w:t>
            </w:r>
          </w:p>
        </w:tc>
      </w:tr>
      <w:tr w:rsidR="009459DB" w:rsidRPr="00AE3895" w:rsidTr="00776E64">
        <w:tc>
          <w:tcPr>
            <w:tcW w:w="9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Увеличение доли педагогов, имеющих первую и высшую категории</w:t>
            </w:r>
          </w:p>
        </w:tc>
      </w:tr>
      <w:tr w:rsidR="009459DB" w:rsidRPr="00AE3895" w:rsidTr="00776E6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1.​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Доля педагогов, имеющих первую и высшую категории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Превышение среднерайонного показателя </w:t>
            </w:r>
            <w:r w:rsidRPr="00AE389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(56,9%);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превышение среднекраевого показателя (</w:t>
            </w:r>
            <w:r w:rsidRPr="00AE3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74,5 %</w:t>
            </w: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 балла</w:t>
            </w:r>
          </w:p>
        </w:tc>
      </w:tr>
      <w:tr w:rsidR="009459DB" w:rsidRPr="00AE3895" w:rsidTr="00776E64">
        <w:tc>
          <w:tcPr>
            <w:tcW w:w="9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Внедрение системы управления качеством образования</w:t>
            </w:r>
          </w:p>
        </w:tc>
      </w:tr>
      <w:tr w:rsidR="009459DB" w:rsidRPr="00AE3895" w:rsidTr="00776E6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2.​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Ведение электронного журнала, электронного дневника.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Ведение сайта общеобразовательной организации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Выполнение </w:t>
            </w:r>
            <w:r w:rsidRPr="00AE389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всех требований</w:t>
            </w: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 к ведению АИС «Сетевой край. Образование»: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- процент выставленных итоговых оценок не менее 90%;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- процент заполненных тем уроков не менее 90%;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- процент заполнения домашнего задания не менее 71%;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- обращение к системе родителей;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обращение к системе учащихся.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электронного журнала </w:t>
            </w: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без использования</w:t>
            </w: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отчетности в </w:t>
            </w: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бумажной форме.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 </w:t>
            </w: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всех требований</w:t>
            </w: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 введению школьного сайта: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своевременное обновление новостной ленты;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размещение баннеров Горячей линии;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раздела «Сведения об образовательной организации»;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размещение основных сведений в данном разделе;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размещение информации о структуре и органах управления;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документов;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информация об образовании;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образовательные стандарты;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информация о руководстве и педагогическом составе;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материально-техническое обеспечение и оснащение;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виды материальной поддержки;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информация о прочих образовательных услугах;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финансовая документация;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вакантные места для приема и перевода.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</w:tc>
      </w:tr>
      <w:tr w:rsidR="009459DB" w:rsidRPr="00AE3895" w:rsidTr="00776E6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3.​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Общеобразовательные организации, принявшие участие в обобщении опыта создания УКО на краевом уровне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Лауреаты краевого конкурса на создание УКО в общеобразовательном учреждении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5 баллов</w:t>
            </w:r>
          </w:p>
        </w:tc>
      </w:tr>
      <w:tr w:rsidR="009459DB" w:rsidRPr="00AE3895" w:rsidTr="00776E64">
        <w:tc>
          <w:tcPr>
            <w:tcW w:w="9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Создание и эффективная работа межшкольных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профессиональных объединений учителей школьного округа</w:t>
            </w:r>
          </w:p>
        </w:tc>
      </w:tr>
      <w:tr w:rsidR="009459DB" w:rsidRPr="00AE3895" w:rsidTr="00776E6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4.​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 xml:space="preserve">Доля педагогов школьных методических объединений, представивших свой опыт работы на окружном, муниципальном, </w:t>
            </w:r>
            <w:r w:rsidRPr="00AE38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региональном, всероссийском, международном уровне (выступления, публикации)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0 - 24% от количества педагогов;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25 - 49% от количества педагогов;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50 - 74% от количества педагогов;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75 – 100% от количества педагогов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4 балла</w:t>
            </w:r>
          </w:p>
        </w:tc>
      </w:tr>
      <w:tr w:rsidR="009459DB" w:rsidRPr="00AE3895" w:rsidTr="00776E64">
        <w:tc>
          <w:tcPr>
            <w:tcW w:w="9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Положительная динамика доли обучающихся,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показавших на государственной итоговой аттестации результат,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превышающий среднекраевое значение</w:t>
            </w:r>
          </w:p>
        </w:tc>
      </w:tr>
      <w:tr w:rsidR="009459DB" w:rsidRPr="00AE3895" w:rsidTr="00776E6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5.​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Средний балл результатов ЕГЭ обучающихся образовательной организации по обязательным предметам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AE389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величина</w:t>
            </w: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AE389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баллов меняется в зависимости от рейтинга среднекраевого и среднерайонного значения по предметам</w:t>
            </w: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значение среднего балла по 1 обязательному предмету выше среднего значения по муниципалитету;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значение среднего балла по 2 обязательным предметам выше среднего значения по муниципалитету;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значение среднего балла по 1 обязательному предмету выше среднекраевого значения;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значение среднего балла по 2 обязательным предметам выше среднекраевого значения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3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4 балла</w:t>
            </w:r>
          </w:p>
        </w:tc>
      </w:tr>
      <w:tr w:rsidR="009459DB" w:rsidRPr="00AE3895" w:rsidTr="00776E6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6.​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Средний балл результатов ОГЭ обучающихся образовательной организации по предмету в текущем учебном году </w:t>
            </w:r>
            <w:r w:rsidRPr="00AE389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(величина</w:t>
            </w: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AE389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баллов меняется в зависимости от рейтинга среднекраевого и среднерайонного значения по предметам</w:t>
            </w: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значение среднего балла по 1 обязательному предмету выше среднего значения по муниципалитету;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значение среднего балла по 2 обязательным предметам выше среднего значения по муниципалитету;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значение среднего балла по 1 обязательному предмету выше среднекраевого значения;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значение среднего балла по 2 обязательным предметам выше среднекраевого значения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3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4 балла</w:t>
            </w:r>
          </w:p>
        </w:tc>
      </w:tr>
      <w:tr w:rsidR="009459DB" w:rsidRPr="00AE3895" w:rsidTr="00776E6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7.​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Доля учащихся, получивших по предмету по результатам ОГЭ отметки «4» и «5» </w:t>
            </w:r>
            <w:r w:rsidRPr="00AE389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(среднее значение по двум обязательным предметам)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40% - 49% обучающихся;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50% - 59% обучающихся;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60% - 75% обучающихся;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более 75% обучающихся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3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4 балла</w:t>
            </w:r>
          </w:p>
        </w:tc>
      </w:tr>
      <w:tr w:rsidR="009459DB" w:rsidRPr="00AE3895" w:rsidTr="00776E6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8.​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Динамика среднего балла ЕГЭ учащихся общеобразовательной организации по обязательным предметам за 2 последние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положительная по одному предмету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положительная по двум предметам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 балла</w:t>
            </w:r>
          </w:p>
        </w:tc>
      </w:tr>
      <w:tr w:rsidR="009459DB" w:rsidRPr="00AE3895" w:rsidTr="00776E6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9.​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Динамика среднего балла ЕГЭ по профильным предметам за последние 2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положительная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</w:tc>
      </w:tr>
      <w:tr w:rsidR="009459DB" w:rsidRPr="00AE3895" w:rsidTr="00776E64">
        <w:tc>
          <w:tcPr>
            <w:tcW w:w="9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Увеличение доли учащихся, сдавших ЕГЭ по выбору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 естественнонаучным дисциплинам (физика, химия, биология)</w:t>
            </w:r>
          </w:p>
        </w:tc>
      </w:tr>
      <w:tr w:rsidR="009459DB" w:rsidRPr="00AE3895" w:rsidTr="00776E6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10.​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Доля учащихся, сдавших ЕГЭ по выбору по естественнонаучным дисциплинам (физика, химия, биология)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до 20% выпускников;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21% - 49% выпускников;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50% - 79% выпускников;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более 80% выпускников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3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4 балла</w:t>
            </w:r>
          </w:p>
        </w:tc>
      </w:tr>
      <w:tr w:rsidR="009459DB" w:rsidRPr="00AE3895" w:rsidTr="00776E6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11.​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Средний тестовый балл результатов ЕГЭ учащихся по профильным предметам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выше среднекраевого, среднерайонного значений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по 1 баллу</w:t>
            </w:r>
          </w:p>
        </w:tc>
      </w:tr>
      <w:tr w:rsidR="009459DB" w:rsidRPr="00AE3895" w:rsidTr="00776E64">
        <w:tc>
          <w:tcPr>
            <w:tcW w:w="9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Положительная динамика доли старшеклассников (10-11 классы), обучающихся по профильным образовательным программам</w:t>
            </w:r>
          </w:p>
        </w:tc>
      </w:tr>
      <w:tr w:rsidR="009459DB" w:rsidRPr="00AE3895" w:rsidTr="00776E6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12.​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Доля старшеклассников (10-11 классы) общеобразовательной организации, обучающихся по профильным образовательным программам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превышение среднекраевого показателя</w:t>
            </w:r>
            <w:r w:rsidRPr="00AE389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(59,14%);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превышение среднего показателя по муниципальному району </w:t>
            </w:r>
            <w:r w:rsidRPr="00AE389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(84,7%)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 балла</w:t>
            </w:r>
          </w:p>
        </w:tc>
      </w:tr>
      <w:tr w:rsidR="009459DB" w:rsidRPr="00AE3895" w:rsidTr="00776E64">
        <w:tc>
          <w:tcPr>
            <w:tcW w:w="9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Положительная динамика доли школьников, участвовавших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 региональном туре всероссийской олимпиады школьников (ВОШ)</w:t>
            </w:r>
          </w:p>
        </w:tc>
      </w:tr>
      <w:tr w:rsidR="009459DB" w:rsidRPr="00AE3895" w:rsidTr="00776E6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13.​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Доля обучающихся по программам общего образования, участвующих, победителей и призеров в олимпиадах и конкурсах различного уровня: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дистанционные конкурсы и марафоны по биологии, географии, математике;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региональная историко-краеведческая конференция школьников Алтайского края;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региональная олимпиада младших школьников «Вместе – к успеху!»;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краевой химический турнир «Индиго»;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летние учебно-тренировочные сборы по физике, химии, математике;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краевая олимпиада по робототехнике;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краевой конкурс для одаренных школьников и молодежи «Будущее Алтая»;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краевая олимпиада школьников, обучающихся в объединениях дополнительного образования эколого-биологической направленности;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региональный конкурс «ИКТО»;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краевой этап дельфийских игр;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краевой этап спортивных игр школьников «Президентские спортивные игры»;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краевой этап спортивных соревнований школьников «Президентские состязания».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сохранение доли обучающихся, участвующих в олимпиадах и конкурсах различного уровня, но ниже среднего по району 38%;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увеличение доли обучающихся, участвующих в олимпиадах и конкурсах различного уровня, но ниже среднего по району 38%;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увеличение доли обучающихся, участвующих в олимпиадах и конкурсах краевого и выше уровней, но выше среднего по району 38%;</w:t>
            </w:r>
          </w:p>
          <w:p w:rsidR="009459DB" w:rsidRPr="00AE3895" w:rsidRDefault="009459DB" w:rsidP="00776E64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- увеличение доли обучающихся, участвующих в олимпиадах и конкурсах краевого и выше уровней, но выше среднего значения по краю 45%.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3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4 балла</w:t>
            </w:r>
          </w:p>
        </w:tc>
      </w:tr>
      <w:tr w:rsidR="009459DB" w:rsidRPr="00AE3895" w:rsidTr="00776E64">
        <w:tc>
          <w:tcPr>
            <w:tcW w:w="9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Развитие сетевого взаимодействия организаций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муниципальной образовательной системы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(школьных округов, организаций инновационной инфраструктуры)</w:t>
            </w:r>
          </w:p>
        </w:tc>
      </w:tr>
      <w:tr w:rsidR="009459DB" w:rsidRPr="00AE3895" w:rsidTr="00776E6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14.​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Эффективная организация деятельности образовательных организаций школьного округа </w:t>
            </w:r>
            <w:r w:rsidRPr="00AE389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(для базовой школы, оказывающей ППМС помощь</w:t>
            </w: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взаимодействие осуществляется на основе договора о совместной деятельности между базовой школой и всеми образовательными организациями школьного округа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</w:tc>
      </w:tr>
      <w:tr w:rsidR="009459DB" w:rsidRPr="00AE3895" w:rsidTr="00776E6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15.​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Эффективная деятельность общеобразовательной организации в рамках школьного округа в организации совместных мероприятий для учащихся округа (</w:t>
            </w:r>
            <w:r w:rsidRPr="00AE389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научно-практическая конференция школьников Заринского образовательного округа «Шаг в науку»</w:t>
            </w: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):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 мероприятий для учащихся школьного округа;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участие в проведении мероприятий для учащихся школьного округа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</w:tc>
      </w:tr>
      <w:tr w:rsidR="009459DB" w:rsidRPr="00AE3895" w:rsidTr="00776E6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16.​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Реализация образовательной организацией образовательных программ, в том числе программ внеурочной деятельности, в сетевых формах с помощью дистанционных технологий (</w:t>
            </w:r>
            <w:r w:rsidRPr="00AE389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основные и ресурсные организации</w:t>
            </w: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основной и ресурсной организациями обеспечены условия для реализации совместно утвержденной образовательной программы (</w:t>
            </w:r>
            <w:r w:rsidRPr="00AE389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части программы</w:t>
            </w: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) в сетевых формах дистанционно, на основе договора: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рабочая программа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</w:tc>
      </w:tr>
      <w:tr w:rsidR="009459DB" w:rsidRPr="00AE3895" w:rsidTr="00776E64">
        <w:tc>
          <w:tcPr>
            <w:tcW w:w="9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Эффективная деятельность общеобразовательных организаций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муниципального района/городского округа,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входящих в реестр инновационных площадок системы образования края, являющихся федеральными стажировочными площадками,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 также участвующих в краевых проектах по введению и реализации ФГОС основного общего образования и дистанционного обучения</w:t>
            </w:r>
          </w:p>
        </w:tc>
      </w:tr>
      <w:tr w:rsidR="009459DB" w:rsidRPr="00AE3895" w:rsidTr="00776E6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17.​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Общеобразовательные организации, входящие в состав инновационной инфраструктуры системы образования Алтайского края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в организации обеспечено управление по направлению инновационной деятельностью: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заключен договор с АКИПКРО;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 xml:space="preserve">организована деятельность рабочей </w:t>
            </w:r>
            <w:r w:rsidRPr="00AE38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группы;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за работниками приказом закреплена ответственность за отдельные направления деятельности по направлению;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деятельность по направлению организована в соответствии с утвержденным планом (программой);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организация оказывает методическую поддержку муниципальным образовательным организациям в решении актуальных задач;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разработана и реализуется программа стажерской практики в соответствии с графиком;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обобщается и распространяется опыт работы коллектива по теме инновационной деятельности: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на муниципальном уровне;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на краевом уровне;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на федеральном уровне;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методические материалы размещены на сайте школы;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на сайте школы осуществляется информационное сопровождение по направлению инновационной деятельности: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информация представлена частично;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информация регулярно обновляется;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предоставляется ежегодный анализ и оценка работы по направлению инновационной деятельности: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на муниципальном уровне;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на краевом уровне;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на федеральном уровне;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анализ размещен на сайте школы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другие краевые проекты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3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3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3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3 балла</w:t>
            </w:r>
          </w:p>
        </w:tc>
      </w:tr>
      <w:tr w:rsidR="009459DB" w:rsidRPr="00AE3895" w:rsidTr="00776E6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18.​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Общеобразовательные организации, участвующие в краевом проекте по введению и реализации ФГОС основного общего образования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в организации обеспечено управление по введению и реализации ФГОС основного общего образования: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организована деятельность рабочей группы;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за работниками приказом закреплена ответственность за отдельные направления деятельности по направлению;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деятельность по направлению организована в соответствии с утвержденным планом-графиком мероприятий по введению и реализации ФГОС ООО в общеобразовательной организации;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организация является пилотной школой по введению ФГОС ООО и оказывает консультативную помощь организациям муниципального района/городского округа в решении актуальных задач;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организация является школой-тьютором по введению ФГОС ООО и оказывает консультативную помощь организациям образовательного округа в решении актуальных задач;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разработана и реализуется программа стажерской практики в соответствии с графиком;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обобщается и распространяется опыт работы коллектива по ведению и реализации ФГОС ООО: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на муниципальном уровне;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на краевом уровне;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на федеральном уровне;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методические материалы размещены на сайте школы;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на сайте школы осуществляется информационное сопровождение по ведению и реализации ФГОС ООО: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информация представлена частично;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информация регулярно обновляется;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методические материалы размещены на сайте АКИПКРО или включены в сборники методических рекомендаций АКИПКРО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3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3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3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3 балла</w:t>
            </w:r>
          </w:p>
        </w:tc>
      </w:tr>
      <w:tr w:rsidR="009459DB" w:rsidRPr="00AE3895" w:rsidTr="00776E6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19.​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Общеобразовательные организации, участвующие в краевом проекте по дистанционному обучению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разработана программа учебного/внеучебного курса, реализуемого в рамках дистанционного обучения, утвержденная и согласованная в установленной порядке;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система дистанционного учебного/внеучебного курса реализуется: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разовые мероприятия, не менее 1 раза в четверть;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еженедельно, не реже 1-2 раз;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диссеминация эффективного опыта реализации образовательных программ дистанционного обучения: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в рамках школьного округа;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муниципальный уровень;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краевой уровень;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федеральный уровень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3 балла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4 балла</w:t>
            </w:r>
          </w:p>
        </w:tc>
      </w:tr>
      <w:tr w:rsidR="009459DB" w:rsidRPr="00AE3895" w:rsidTr="00776E64">
        <w:tc>
          <w:tcPr>
            <w:tcW w:w="9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Снижение доли обучающихся,</w:t>
            </w:r>
          </w:p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испытывающих трудности в социальной адаптации</w:t>
            </w:r>
          </w:p>
        </w:tc>
      </w:tr>
      <w:tr w:rsidR="009459DB" w:rsidRPr="00AE3895" w:rsidTr="00776E6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20.​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Эффективность работы с детьми и семьями, находящимися в социально опасном положении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наличие педагогических работников, получающих стимулирующие выплаты за работу с детьми и семьями, находящимися в социально опасном положении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</w:tc>
      </w:tr>
      <w:tr w:rsidR="009459DB" w:rsidRPr="00AE3895" w:rsidTr="00776E6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21.​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Внедрение новых технологий по профилактике безнадзорности и преступлений несовершеннолетних, употребления психоактивных веществ и наркомании (школьные службы примирения, отряды правоохранительной направленности, наркопосты, спортивные клубы, волонтерские отряды и др.)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Участие руководителя объединения школьников в семинарах по профилактической работе и пропаганде ЗОЖ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9DB" w:rsidRPr="00AE3895" w:rsidRDefault="009459DB" w:rsidP="00776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95">
              <w:rPr>
                <w:rFonts w:ascii="Times New Roman" w:eastAsia="Times New Roman" w:hAnsi="Times New Roman" w:cs="Times New Roman"/>
                <w:color w:val="000000"/>
              </w:rPr>
              <w:t>1 балл</w:t>
            </w:r>
          </w:p>
        </w:tc>
      </w:tr>
    </w:tbl>
    <w:p w:rsidR="009459DB" w:rsidRDefault="009459DB" w:rsidP="009459DB">
      <w:pPr>
        <w:pStyle w:val="a3"/>
        <w:spacing w:line="292" w:lineRule="exact"/>
        <w:jc w:val="right"/>
        <w:rPr>
          <w:rFonts w:ascii="Times New Roman" w:hAnsi="Times New Roman" w:cs="Times New Roman"/>
          <w:w w:val="89"/>
          <w:sz w:val="27"/>
          <w:szCs w:val="27"/>
        </w:rPr>
      </w:pPr>
    </w:p>
    <w:p w:rsidR="009459DB" w:rsidRDefault="009459DB" w:rsidP="009459DB">
      <w:pPr>
        <w:pStyle w:val="a3"/>
        <w:spacing w:line="292" w:lineRule="exact"/>
        <w:ind w:left="3533"/>
        <w:jc w:val="right"/>
        <w:rPr>
          <w:rFonts w:ascii="Times New Roman" w:hAnsi="Times New Roman" w:cs="Times New Roman"/>
          <w:w w:val="89"/>
          <w:sz w:val="27"/>
          <w:szCs w:val="27"/>
        </w:rPr>
      </w:pPr>
    </w:p>
    <w:p w:rsidR="009459DB" w:rsidRDefault="009459DB" w:rsidP="009459DB">
      <w:pPr>
        <w:pStyle w:val="a3"/>
        <w:spacing w:line="292" w:lineRule="exact"/>
        <w:ind w:left="3533"/>
        <w:jc w:val="right"/>
        <w:rPr>
          <w:rFonts w:ascii="Times New Roman" w:hAnsi="Times New Roman" w:cs="Times New Roman"/>
          <w:w w:val="89"/>
          <w:sz w:val="27"/>
          <w:szCs w:val="27"/>
        </w:rPr>
      </w:pPr>
    </w:p>
    <w:p w:rsidR="00B9556E" w:rsidRDefault="009459DB"/>
    <w:sectPr w:rsidR="00B9556E" w:rsidSect="006D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defaultTabStop w:val="708"/>
  <w:characterSpacingControl w:val="doNotCompress"/>
  <w:compat/>
  <w:rsids>
    <w:rsidRoot w:val="009459DB"/>
    <w:rsid w:val="00343451"/>
    <w:rsid w:val="006D737A"/>
    <w:rsid w:val="009459DB"/>
    <w:rsid w:val="00B2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45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2497</Words>
  <Characters>14233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2017-03-16T14:23:00Z</dcterms:created>
  <dcterms:modified xsi:type="dcterms:W3CDTF">2017-03-16T14:25:00Z</dcterms:modified>
</cp:coreProperties>
</file>